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E7C8F" w14:textId="03627EBD" w:rsidR="00012FA1" w:rsidRDefault="00012FA1" w:rsidP="003E18E6">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4D348C7D" wp14:editId="2A7C9EFE">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8240" behindDoc="1" locked="0" layoutInCell="1" allowOverlap="1" wp14:anchorId="51B5F994" wp14:editId="254A4FB1">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4FD8266"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0C802DB1"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C65A057" w14:textId="77777777" w:rsidR="00012FA1" w:rsidRDefault="00012FA1" w:rsidP="005D0222">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4810A33C" w14:textId="77777777" w:rsidR="005D0222" w:rsidRDefault="005D0222"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1C4F68E" w14:textId="79E457FE"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0C339455"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31CE4630"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p>
    <w:p w14:paraId="2E3CAEDB" w14:textId="77777777" w:rsidR="00F1043C" w:rsidRDefault="00012FA1"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w:t>
      </w:r>
      <w:r w:rsidR="00F1043C">
        <w:rPr>
          <w:rFonts w:ascii="Tahoma" w:eastAsia="Times New Roman" w:hAnsi="Tahoma" w:cs="Tahoma"/>
          <w:bCs/>
          <w:sz w:val="20"/>
          <w:szCs w:val="20"/>
          <w:lang w:eastAsia="ar-SA"/>
        </w:rPr>
        <w:t xml:space="preserve">Stazione Unica Appaltante </w:t>
      </w:r>
    </w:p>
    <w:p w14:paraId="516779F3" w14:textId="23DE9D13" w:rsidR="00012FA1" w:rsidRDefault="00F1043C"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della </w:t>
      </w:r>
      <w:r w:rsidR="00012FA1">
        <w:rPr>
          <w:rFonts w:ascii="Tahoma" w:eastAsia="Times New Roman" w:hAnsi="Tahoma" w:cs="Tahoma"/>
          <w:bCs/>
          <w:sz w:val="20"/>
          <w:szCs w:val="20"/>
          <w:lang w:eastAsia="ar-SA"/>
        </w:rPr>
        <w:t>Provincia di Piacenza</w:t>
      </w:r>
    </w:p>
    <w:p w14:paraId="09BE494E"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640EE9A2"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2B25E3D0" w14:textId="77777777" w:rsidR="00012FA1" w:rsidRDefault="00012FA1" w:rsidP="00012FA1">
      <w:pPr>
        <w:suppressAutoHyphens/>
        <w:spacing w:after="0" w:line="240" w:lineRule="auto"/>
        <w:jc w:val="both"/>
        <w:rPr>
          <w:rFonts w:ascii="Tahoma" w:eastAsia="Times New Roman" w:hAnsi="Tahoma" w:cs="Tahoma"/>
          <w:sz w:val="18"/>
          <w:szCs w:val="18"/>
          <w:lang w:eastAsia="ar-SA"/>
        </w:rPr>
      </w:pPr>
    </w:p>
    <w:p w14:paraId="67A174FB" w14:textId="706DD5FA" w:rsidR="00012FA1" w:rsidRPr="00442A85" w:rsidRDefault="00012FA1" w:rsidP="00012FA1">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Pr>
          <w:rFonts w:ascii="Tahoma" w:hAnsi="Tahoma" w:cs="Tahoma"/>
          <w:b/>
          <w:sz w:val="22"/>
          <w:szCs w:val="22"/>
          <w:lang w:eastAsia="ar-SA"/>
        </w:rPr>
        <w:t>OGGETTO</w:t>
      </w:r>
      <w:r>
        <w:rPr>
          <w:rFonts w:ascii="Tahoma" w:hAnsi="Tahoma" w:cs="Tahoma"/>
          <w:sz w:val="20"/>
          <w:szCs w:val="20"/>
          <w:lang w:eastAsia="ar-SA"/>
        </w:rPr>
        <w:t>:</w:t>
      </w:r>
      <w:r w:rsidR="00442A85" w:rsidRPr="00442A85">
        <w:t xml:space="preserve"> </w:t>
      </w:r>
      <w:r w:rsidR="00442A85" w:rsidRPr="00442A85">
        <w:rPr>
          <w:rFonts w:ascii="Tahoma" w:hAnsi="Tahoma" w:cs="Tahoma"/>
          <w:b/>
          <w:sz w:val="20"/>
          <w:szCs w:val="20"/>
          <w:lang w:eastAsia="ar-SA"/>
        </w:rPr>
        <w:t>PROCEDURA APERTA PER L’AFFIDAMENTO DEI LAVORI DI CUI AL PROGETTO “REALIZZAZIONE DI UN POLO PER L'INFANZIA COMPRENDENTE NUOVO ASILO NIDO E SCUOLA MATERNA DEL COMUNE DI SARMATO (PC). CUP H48H21000040006” PNRR M4 C1 - INV.1.1 - INTERVENTO FINANZIATO DALL’UNIONE EUROPEA – NEXTGENERATIONEU. CIG 9722147980.</w:t>
      </w:r>
    </w:p>
    <w:p w14:paraId="3811B9E5" w14:textId="77777777" w:rsidR="00012FA1" w:rsidRDefault="00012FA1" w:rsidP="00012FA1">
      <w:pPr>
        <w:pStyle w:val="NormaleWeb"/>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012FA1" w14:paraId="0C650643" w14:textId="77777777" w:rsidTr="00012FA1">
        <w:tc>
          <w:tcPr>
            <w:tcW w:w="1320" w:type="dxa"/>
            <w:gridSpan w:val="2"/>
            <w:tcBorders>
              <w:top w:val="double" w:sz="2" w:space="0" w:color="C0C0C0"/>
              <w:left w:val="double" w:sz="2" w:space="0" w:color="C0C0C0"/>
              <w:bottom w:val="double" w:sz="2" w:space="0" w:color="C0C0C0"/>
              <w:right w:val="nil"/>
            </w:tcBorders>
            <w:hideMark/>
          </w:tcPr>
          <w:p w14:paraId="1B155192"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1BE71D8A"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7E35D0D3" w14:textId="77777777" w:rsidTr="00012FA1">
        <w:tc>
          <w:tcPr>
            <w:tcW w:w="630" w:type="dxa"/>
            <w:tcBorders>
              <w:top w:val="double" w:sz="2" w:space="0" w:color="C0C0C0"/>
              <w:left w:val="double" w:sz="2" w:space="0" w:color="C0C0C0"/>
              <w:bottom w:val="double" w:sz="2" w:space="0" w:color="C0C0C0"/>
              <w:right w:val="nil"/>
            </w:tcBorders>
            <w:hideMark/>
          </w:tcPr>
          <w:p w14:paraId="1AADE4A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C288F04"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5B034B7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28730B3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608227E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7C41AA7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F94200A" w14:textId="77777777" w:rsidTr="00012FA1">
        <w:tc>
          <w:tcPr>
            <w:tcW w:w="1320" w:type="dxa"/>
            <w:gridSpan w:val="2"/>
            <w:tcBorders>
              <w:top w:val="double" w:sz="2" w:space="0" w:color="C0C0C0"/>
              <w:left w:val="double" w:sz="2" w:space="0" w:color="C0C0C0"/>
              <w:bottom w:val="double" w:sz="2" w:space="0" w:color="C0C0C0"/>
              <w:right w:val="nil"/>
            </w:tcBorders>
            <w:hideMark/>
          </w:tcPr>
          <w:p w14:paraId="71992C01"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3A1E3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7CA62DE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0E3C9FF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6D06E9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52E62E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5317645" w14:textId="77777777" w:rsidTr="00012FA1">
        <w:tc>
          <w:tcPr>
            <w:tcW w:w="1320" w:type="dxa"/>
            <w:gridSpan w:val="2"/>
            <w:tcBorders>
              <w:top w:val="double" w:sz="2" w:space="0" w:color="C0C0C0"/>
              <w:left w:val="double" w:sz="2" w:space="0" w:color="C0C0C0"/>
              <w:bottom w:val="double" w:sz="2" w:space="0" w:color="C0C0C0"/>
              <w:right w:val="nil"/>
            </w:tcBorders>
            <w:hideMark/>
          </w:tcPr>
          <w:p w14:paraId="109DF25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66754EB"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2E1BF1EA" w14:textId="77777777" w:rsidTr="00012FA1">
        <w:tc>
          <w:tcPr>
            <w:tcW w:w="1320" w:type="dxa"/>
            <w:gridSpan w:val="2"/>
            <w:tcBorders>
              <w:top w:val="double" w:sz="2" w:space="0" w:color="C0C0C0"/>
              <w:left w:val="double" w:sz="2" w:space="0" w:color="C0C0C0"/>
              <w:bottom w:val="double" w:sz="2" w:space="0" w:color="C0C0C0"/>
              <w:right w:val="nil"/>
            </w:tcBorders>
            <w:hideMark/>
          </w:tcPr>
          <w:p w14:paraId="2592DFB4"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0E9CBD6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0B71177A" w14:textId="77777777" w:rsidTr="00012FA1">
        <w:tc>
          <w:tcPr>
            <w:tcW w:w="1710" w:type="dxa"/>
            <w:gridSpan w:val="4"/>
            <w:tcBorders>
              <w:top w:val="double" w:sz="2" w:space="0" w:color="C0C0C0"/>
              <w:left w:val="double" w:sz="2" w:space="0" w:color="C0C0C0"/>
              <w:bottom w:val="double" w:sz="2" w:space="0" w:color="C0C0C0"/>
              <w:right w:val="nil"/>
            </w:tcBorders>
            <w:hideMark/>
          </w:tcPr>
          <w:p w14:paraId="011C666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3990CFA3"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037A7AB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CC3271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5BE3D1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E3AA8F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2D2EF2C" w14:textId="77777777" w:rsidTr="00012FA1">
        <w:tc>
          <w:tcPr>
            <w:tcW w:w="1815" w:type="dxa"/>
            <w:gridSpan w:val="5"/>
            <w:tcBorders>
              <w:top w:val="double" w:sz="2" w:space="0" w:color="C0C0C0"/>
              <w:left w:val="double" w:sz="2" w:space="0" w:color="C0C0C0"/>
              <w:bottom w:val="double" w:sz="2" w:space="0" w:color="C0C0C0"/>
              <w:right w:val="nil"/>
            </w:tcBorders>
            <w:hideMark/>
          </w:tcPr>
          <w:p w14:paraId="0C9E4D9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301311B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69A6E7E"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4D8DC4A5"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52BDC4D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535FA5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30C4F0D0" w14:textId="77777777" w:rsidTr="00012FA1">
        <w:tc>
          <w:tcPr>
            <w:tcW w:w="1425" w:type="dxa"/>
            <w:gridSpan w:val="3"/>
            <w:tcBorders>
              <w:top w:val="double" w:sz="2" w:space="0" w:color="C0C0C0"/>
              <w:left w:val="double" w:sz="2" w:space="0" w:color="C0C0C0"/>
              <w:bottom w:val="double" w:sz="2" w:space="0" w:color="C0C0C0"/>
              <w:right w:val="nil"/>
            </w:tcBorders>
            <w:hideMark/>
          </w:tcPr>
          <w:p w14:paraId="412E2A9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23251197"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02097CF"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5D6CC4C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bl>
    <w:p w14:paraId="0E572718" w14:textId="77777777" w:rsidR="00012FA1" w:rsidRDefault="00012FA1" w:rsidP="00012FA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0837ACB" w14:textId="77777777" w:rsidR="00012FA1" w:rsidRDefault="00012FA1" w:rsidP="00012FA1">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0F0A84A2" w14:textId="77777777" w:rsidR="00012FA1" w:rsidRDefault="00012FA1" w:rsidP="00012FA1">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218EE7E3"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14:paraId="0262A95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capogruppo di associazione temporanea di imprese o di consorzio ex art. 45, comma 2, lett. d) ed e) del D. Lgs. n. 50/2016;</w:t>
      </w:r>
    </w:p>
    <w:p w14:paraId="1E061E3B"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6BC291CE"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2606A8C"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67E4471C"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3B88FD99"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75BD2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6CE69AEB"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65D21F15"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48FF5041"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5B6AF79" w14:textId="77777777" w:rsidR="00012FA1" w:rsidRDefault="00012FA1" w:rsidP="00012FA1">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4C7670F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76D8ED4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7B12A68F"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158CB4F6"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52070254" w14:textId="77777777" w:rsidR="00012FA1" w:rsidRDefault="00012FA1" w:rsidP="00012FA1">
      <w:pPr>
        <w:suppressAutoHyphens/>
        <w:spacing w:after="62" w:line="240" w:lineRule="auto"/>
        <w:ind w:left="426"/>
        <w:jc w:val="center"/>
        <w:rPr>
          <w:rFonts w:ascii="Tahoma" w:eastAsia="Times New Roman" w:hAnsi="Tahoma" w:cs="Tahoma"/>
          <w:color w:val="000000"/>
          <w:sz w:val="20"/>
          <w:szCs w:val="20"/>
          <w:lang w:eastAsia="ar-SA"/>
        </w:rPr>
      </w:pPr>
    </w:p>
    <w:p w14:paraId="71F13CDC" w14:textId="77777777" w:rsidR="00012FA1" w:rsidRDefault="00012FA1" w:rsidP="00012FA1">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4EB8B6C9"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1F492865"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p>
    <w:p w14:paraId="549F6955"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0298B607"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378BDD58"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0BB758A8"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13D0EDCA"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13F202B"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7DC1FDE4" w14:textId="77777777" w:rsidR="00012FA1" w:rsidRDefault="00012FA1" w:rsidP="00012FA1">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6A2B1B3" w14:textId="2B54AF47" w:rsidR="00A125B1" w:rsidRPr="00A125B1" w:rsidRDefault="00A125B1" w:rsidP="00A125B1">
      <w:pPr>
        <w:pStyle w:val="Paragrafoelenco"/>
        <w:numPr>
          <w:ilvl w:val="0"/>
          <w:numId w:val="2"/>
        </w:numPr>
        <w:jc w:val="both"/>
        <w:rPr>
          <w:rFonts w:ascii="Tahoma" w:eastAsia="Times New Roman" w:hAnsi="Tahoma" w:cs="Tahoma"/>
          <w:color w:val="000000"/>
          <w:sz w:val="20"/>
          <w:szCs w:val="20"/>
          <w:lang w:eastAsia="ar-SA"/>
        </w:rPr>
      </w:pPr>
      <w:r w:rsidRPr="00A125B1">
        <w:rPr>
          <w:rFonts w:ascii="Tahoma" w:eastAsia="Times New Roman" w:hAnsi="Tahoma" w:cs="Tahoma"/>
          <w:color w:val="000000"/>
          <w:sz w:val="20"/>
          <w:szCs w:val="20"/>
          <w:lang w:eastAsia="ar-SA"/>
        </w:rPr>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1635FFBA" w14:textId="766CCA88"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0A04BA0"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108216CA"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69B0F8CE" w14:textId="77777777" w:rsidR="00012FA1" w:rsidRDefault="00012FA1" w:rsidP="00012FA1">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4545E43B" w14:textId="77777777" w:rsidR="00012FA1" w:rsidRDefault="00012FA1" w:rsidP="00012FA1">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5518CC4" w14:textId="77777777" w:rsidR="00012FA1" w:rsidRDefault="00012FA1" w:rsidP="00012FA1">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4492132B" w14:textId="249B4A43"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della certificazione SOA posseduta, ma l'impresa ha richiesto la verifica in data ________________</w:t>
      </w:r>
      <w:r w:rsidR="00A643E7">
        <w:rPr>
          <w:rFonts w:ascii="Tahoma" w:eastAsia="Times New Roman" w:hAnsi="Tahoma" w:cs="Tahoma"/>
          <w:bCs/>
          <w:kern w:val="2"/>
          <w:sz w:val="20"/>
          <w:szCs w:val="20"/>
          <w:lang w:eastAsia="ar-SA"/>
        </w:rPr>
        <w:t xml:space="preserve">, </w:t>
      </w:r>
      <w:r w:rsidR="00A643E7" w:rsidRPr="00A643E7">
        <w:rPr>
          <w:rFonts w:ascii="Tahoma" w:eastAsia="Times New Roman" w:hAnsi="Tahoma" w:cs="Tahoma"/>
          <w:bCs/>
          <w:kern w:val="2"/>
          <w:sz w:val="20"/>
          <w:szCs w:val="20"/>
          <w:u w:val="single"/>
          <w:lang w:eastAsia="ar-SA"/>
        </w:rPr>
        <w:t>come da allegato</w:t>
      </w:r>
      <w:r w:rsidR="00A643E7">
        <w:rPr>
          <w:rFonts w:ascii="Tahoma" w:eastAsia="Times New Roman" w:hAnsi="Tahoma" w:cs="Tahoma"/>
          <w:bCs/>
          <w:kern w:val="2"/>
          <w:sz w:val="20"/>
          <w:szCs w:val="20"/>
          <w:lang w:eastAsia="ar-SA"/>
        </w:rPr>
        <w:t>;</w:t>
      </w:r>
    </w:p>
    <w:p w14:paraId="32F63BE7" w14:textId="77777777" w:rsidR="00012FA1" w:rsidRDefault="00012FA1" w:rsidP="00012FA1">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B64DA3F" w14:textId="77777777"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1567BF" w14:textId="77777777" w:rsidR="00012FA1" w:rsidRDefault="00012FA1" w:rsidP="00012FA1">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6B39E173" w14:textId="77777777" w:rsidR="00012FA1" w:rsidRDefault="00012FA1" w:rsidP="00012FA1">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68AFB87"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CE04289" w14:textId="77777777" w:rsidR="00012FA1" w:rsidRDefault="00012FA1" w:rsidP="00012FA1">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0265491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B2414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0B7F7B5F"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tentato di influenzare indebitamente il processo decisionale della stazione appaltante o di ottenere informazioni riservate a fini di proprio vantaggio;</w:t>
      </w:r>
    </w:p>
    <w:p w14:paraId="34AC9A90"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5CB25B39"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1628A53"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C616C36"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081608F" w14:textId="77777777" w:rsidR="00012FA1" w:rsidRDefault="00012FA1" w:rsidP="00012FA1">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3E621B0D"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3BED026C" w14:textId="69F72E9D" w:rsid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impianti ai sensi del D.M. 37/2008</w:t>
      </w:r>
      <w:r w:rsidR="00845585">
        <w:t xml:space="preserve">, </w:t>
      </w:r>
      <w:r w:rsidR="00845585" w:rsidRPr="00845585">
        <w:rPr>
          <w:rFonts w:ascii="Tahoma" w:eastAsia="Times New Roman" w:hAnsi="Tahoma" w:cs="Tahoma"/>
          <w:color w:val="000000"/>
          <w:sz w:val="20"/>
          <w:szCs w:val="20"/>
          <w:lang w:eastAsia="ar-SA" w:bidi="it-IT"/>
        </w:rPr>
        <w:t>art. 1 comma 2 lett. a)</w:t>
      </w:r>
      <w:r w:rsidR="00442A85" w:rsidRPr="00442A85">
        <w:rPr>
          <w:rFonts w:ascii="Tahoma" w:eastAsia="Times New Roman" w:hAnsi="Tahoma" w:cs="Tahoma"/>
          <w:color w:val="000000"/>
          <w:sz w:val="20"/>
          <w:szCs w:val="20"/>
          <w:lang w:eastAsia="ar-SA" w:bidi="it-IT"/>
        </w:rPr>
        <w:t>, b), c), d), g);</w:t>
      </w:r>
    </w:p>
    <w:p w14:paraId="0E82AD0C" w14:textId="65A1FF74"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sidR="00C02581">
        <w:rPr>
          <w:rFonts w:ascii="Tahoma" w:eastAsia="Times New Roman" w:hAnsi="Tahoma" w:cs="Tahoma"/>
          <w:i/>
          <w:color w:val="000000"/>
          <w:sz w:val="20"/>
          <w:szCs w:val="20"/>
          <w:lang w:eastAsia="ar-SA"/>
        </w:rPr>
        <w:t xml:space="preserve">. </w:t>
      </w:r>
      <w:r w:rsidR="00C02581" w:rsidRPr="00FA25C0">
        <w:rPr>
          <w:rFonts w:ascii="Tahoma" w:eastAsia="Times New Roman" w:hAnsi="Tahoma" w:cs="Tahoma"/>
          <w:i/>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sidR="00A643E7">
        <w:rPr>
          <w:rFonts w:ascii="Tahoma" w:eastAsia="Times New Roman" w:hAnsi="Tahoma" w:cs="Tahoma"/>
          <w:color w:val="000000"/>
          <w:sz w:val="20"/>
          <w:szCs w:val="20"/>
          <w:lang w:eastAsia="ar-SA"/>
        </w:rPr>
        <w:t>:</w:t>
      </w:r>
    </w:p>
    <w:p w14:paraId="46356799"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 xml:space="preserve">ai sensi dell’art. 47, comma 2, della legge 108/2021, per gli operatori economici tenuti alla redazione del rapporto sulla situazione del personale ai sensi dell’art. 46 del d.lgs. 198/2006) di aver presentato, </w:t>
      </w:r>
      <w:r w:rsidRPr="00691C19">
        <w:rPr>
          <w:rFonts w:ascii="Tahoma" w:eastAsia="Times New Roman" w:hAnsi="Tahoma" w:cs="Tahoma"/>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09D421F1"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2A26C75C" w14:textId="0A5D2F13"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sidR="00442A85">
        <w:rPr>
          <w:rFonts w:ascii="Tahoma" w:eastAsia="Times New Roman" w:hAnsi="Tahoma" w:cs="Tahoma"/>
          <w:color w:val="000000"/>
          <w:sz w:val="20"/>
          <w:szCs w:val="20"/>
          <w:lang w:eastAsia="ar-SA" w:bidi="it-IT"/>
        </w:rPr>
        <w:t xml:space="preserve"> </w:t>
      </w:r>
      <w:r w:rsidR="00442A85" w:rsidRPr="00004FCE">
        <w:rPr>
          <w:rFonts w:ascii="Tahoma" w:eastAsia="Times New Roman" w:hAnsi="Tahoma" w:cs="Tahoma"/>
          <w:color w:val="000000"/>
          <w:sz w:val="20"/>
          <w:szCs w:val="20"/>
          <w:lang w:eastAsia="ar-SA" w:bidi="it-IT"/>
        </w:rPr>
        <w:t>(convertito con modificazioni nella Legge 29 luglio 2021, n.108)</w:t>
      </w:r>
      <w:r w:rsidR="00622229">
        <w:rPr>
          <w:rFonts w:ascii="Tahoma" w:eastAsia="Times New Roman" w:hAnsi="Tahoma" w:cs="Tahoma"/>
          <w:color w:val="000000"/>
          <w:sz w:val="20"/>
          <w:szCs w:val="20"/>
          <w:lang w:eastAsia="ar-SA" w:bidi="it-IT"/>
        </w:rPr>
        <w:t>;</w:t>
      </w:r>
    </w:p>
    <w:p w14:paraId="2CBADFBA"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1825AB1B"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7821D7B0"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una relazione relativa all’assolvimento degli obblighi di cui alla medesima legge n. 68/1999 e alle eventuali sanzioni e provvedimenti disposti a loro carico nel triennio antecedente la data di </w:t>
      </w:r>
      <w:r w:rsidRPr="00691C19">
        <w:rPr>
          <w:rFonts w:ascii="Tahoma" w:eastAsia="Times New Roman" w:hAnsi="Tahoma" w:cs="Tahoma"/>
          <w:color w:val="000000"/>
          <w:sz w:val="20"/>
          <w:szCs w:val="20"/>
          <w:lang w:eastAsia="ar-SA" w:bidi="it-IT"/>
        </w:rPr>
        <w:lastRenderedPageBreak/>
        <w:t>scadenza di presentazione delle offerte. La relazione dovrà essere trasmessa entro il medesimo termine anche alle rappresentanze sindacali aziendali;</w:t>
      </w:r>
    </w:p>
    <w:p w14:paraId="455C7392" w14:textId="28229678"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sidR="00442A85">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sidR="00351CBD">
        <w:rPr>
          <w:rFonts w:ascii="Tahoma" w:eastAsia="Times New Roman" w:hAnsi="Tahoma" w:cs="Tahoma"/>
          <w:color w:val="000000"/>
          <w:sz w:val="20"/>
          <w:szCs w:val="20"/>
          <w:lang w:eastAsia="ar-SA" w:bidi="it-IT"/>
        </w:rPr>
        <w:t>2</w:t>
      </w:r>
      <w:r w:rsidR="00580372">
        <w:rPr>
          <w:rFonts w:ascii="Tahoma" w:eastAsia="Times New Roman" w:hAnsi="Tahoma" w:cs="Tahoma"/>
          <w:color w:val="000000"/>
          <w:sz w:val="20"/>
          <w:szCs w:val="20"/>
          <w:lang w:eastAsia="ar-SA" w:bidi="it-IT"/>
        </w:rPr>
        <w:t xml:space="preserve"> bis</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542102BF"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117347E9" w14:textId="77777777" w:rsidR="00691C19" w:rsidRDefault="00691C19" w:rsidP="00691C1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0E9A660D"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5449C13C" w14:textId="77777777" w:rsidR="00691C19" w:rsidRDefault="00691C19" w:rsidP="00691C19">
      <w:pPr>
        <w:suppressAutoHyphens/>
        <w:spacing w:before="119" w:after="62" w:line="240" w:lineRule="auto"/>
        <w:ind w:left="360"/>
        <w:jc w:val="both"/>
        <w:rPr>
          <w:rFonts w:ascii="Tahoma" w:eastAsia="Times New Roman" w:hAnsi="Tahoma" w:cs="Tahoma"/>
          <w:color w:val="000000"/>
          <w:sz w:val="20"/>
          <w:szCs w:val="20"/>
        </w:rPr>
      </w:pPr>
    </w:p>
    <w:p w14:paraId="2F4CF29B" w14:textId="77777777" w:rsidR="00691C19" w:rsidRPr="00580372"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4D168CA8" w14:textId="7777777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non arrecare un danno significativo agli obiettivi ambientali” c.d. “Do No Significant Harm” (DNSH),</w:t>
      </w:r>
      <w:r w:rsidRPr="00580372">
        <w:rPr>
          <w:rFonts w:ascii="Tahoma" w:hAnsi="Tahoma" w:cs="Tahoma"/>
          <w:sz w:val="20"/>
          <w:szCs w:val="20"/>
        </w:rPr>
        <w:t xml:space="preserve"> ai sensi dell’art. 17 del Regolamento UE 2020/852 del Parlamento Europeo e del Consiglio del 18 giugno 2020;</w:t>
      </w:r>
    </w:p>
    <w:p w14:paraId="751EDA7A" w14:textId="7777777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w:t>
      </w:r>
      <w:proofErr w:type="spellStart"/>
      <w:r w:rsidRPr="00580372">
        <w:rPr>
          <w:rFonts w:ascii="Tahoma" w:hAnsi="Tahoma" w:cs="Tahoma"/>
          <w:sz w:val="20"/>
          <w:szCs w:val="20"/>
        </w:rPr>
        <w:t>Equality</w:t>
      </w:r>
      <w:proofErr w:type="spellEnd"/>
      <w:r w:rsidRPr="00580372">
        <w:rPr>
          <w:rFonts w:ascii="Tahoma" w:hAnsi="Tahoma" w:cs="Tahoma"/>
          <w:sz w:val="20"/>
          <w:szCs w:val="20"/>
        </w:rPr>
        <w:t>), di protezione e valorizzazione dei giovani, del tagging clima e digitale, del superamento dei divari territoriali, nonché del principio di non arrecare un danno significativo agli obiettivi ambientali ai sensi dell'art. 17 del Regolamento (UE) 2020/852;</w:t>
      </w:r>
    </w:p>
    <w:p w14:paraId="3BB0652B" w14:textId="0CBAA45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41758AFD" w14:textId="645D7147" w:rsidR="00580372" w:rsidRPr="00580372" w:rsidRDefault="00580372" w:rsidP="00580372">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di cui al Decreto del Ministero della Transizione Ecologica del 23 giugno 2022 n. 256 “Criteri ambientali minimi per l’affidamento di servizi di progettazione di interventi edilizi, per l’affidamento dei lavori per interventi edilizi e per e per l'affidamento congiunto di progettazione e lavori per interventi edilizi” con particolare riferimento all'obbligo di utilizzo per i veicoli ed i macchinari di cantiere oli lubrificanti elencati al § 2.7.4.1 e § 2.7.4.2 del suddetto Decreto; in particolare l'impresa prima dell'inizio dei lavori dovrà consegnare una dichiarazione del legale rappresentante che attesti la conformità ai criteri sopra esposti; durante l'esecuzione l'appaltatore deve fornire alla stazione appaltante una lista completa dei lubrificanti utilizzati accertandosi della rispondenza al criterio con le modalità elencate nei suddetti "Criteri Ambientali Minimi";</w:t>
      </w:r>
    </w:p>
    <w:p w14:paraId="5561DA5C" w14:textId="77777777" w:rsidR="00580372" w:rsidRPr="00013988" w:rsidRDefault="00580372" w:rsidP="00580372">
      <w:pPr>
        <w:autoSpaceDE w:val="0"/>
        <w:autoSpaceDN w:val="0"/>
        <w:adjustRightInd w:val="0"/>
        <w:spacing w:after="0"/>
        <w:ind w:left="720"/>
        <w:rPr>
          <w:rFonts w:eastAsiaTheme="minorHAnsi"/>
          <w:color w:val="000000"/>
          <w:sz w:val="20"/>
          <w:szCs w:val="20"/>
        </w:rPr>
      </w:pPr>
    </w:p>
    <w:p w14:paraId="46C8F062" w14:textId="54075B2B" w:rsidR="00580372" w:rsidRPr="00580372" w:rsidRDefault="00580372" w:rsidP="00CC61E4">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bookmarkStart w:id="1" w:name="_GoBack"/>
      <w:bookmarkEnd w:id="1"/>
    </w:p>
    <w:p w14:paraId="467DAB2D" w14:textId="394173C9" w:rsidR="00580372" w:rsidRDefault="00580372" w:rsidP="00580372">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F03C6D4" w14:textId="0CB39F3F" w:rsidR="00580372" w:rsidRPr="00580372" w:rsidRDefault="00580372" w:rsidP="00580372">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3FA038B3" w14:textId="41070864" w:rsidR="0088185E" w:rsidRPr="0088185E" w:rsidRDefault="0088185E" w:rsidP="0088185E">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lastRenderedPageBreak/>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0144A8A3" w14:textId="77777777" w:rsidR="00012FA1" w:rsidRDefault="00012FA1" w:rsidP="00012FA1">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7AB10E2" w14:textId="5844D6BA" w:rsidR="00691C19" w:rsidRDefault="00691C19" w:rsidP="00580372">
      <w:pPr>
        <w:pStyle w:val="Paragrafoelenco"/>
        <w:numPr>
          <w:ilvl w:val="0"/>
          <w:numId w:val="2"/>
        </w:numPr>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 xml:space="preserve">di essere edotto degli obblighi derivanti dal Codice di Comportamento dei dipendenti pubblici </w:t>
      </w:r>
      <w:r w:rsidR="00351CBD" w:rsidRPr="00580372">
        <w:rPr>
          <w:rFonts w:ascii="Tahoma" w:eastAsia="Times New Roman" w:hAnsi="Tahoma" w:cs="Tahoma"/>
          <w:color w:val="000000"/>
          <w:sz w:val="20"/>
          <w:szCs w:val="20"/>
          <w:lang w:eastAsia="ar-SA" w:bidi="it-IT"/>
        </w:rPr>
        <w:t xml:space="preserve">del Comune </w:t>
      </w:r>
      <w:r w:rsidR="00580372" w:rsidRPr="00580372">
        <w:rPr>
          <w:rFonts w:ascii="Tahoma" w:eastAsia="Times New Roman" w:hAnsi="Tahoma" w:cs="Tahoma"/>
          <w:color w:val="000000"/>
          <w:sz w:val="20"/>
          <w:szCs w:val="20"/>
          <w:lang w:eastAsia="ar-SA" w:bidi="it-IT"/>
        </w:rPr>
        <w:t xml:space="preserve">del Comune di Sarmato, approvato con Delibera di Giunta Comunale n. 144 del 14.12.2021, visionabile al seguente link </w:t>
      </w:r>
      <w:hyperlink r:id="rId7" w:history="1">
        <w:r w:rsidR="00580372" w:rsidRPr="00255C25">
          <w:rPr>
            <w:rStyle w:val="Collegamentoipertestuale"/>
            <w:rFonts w:ascii="Tahoma" w:eastAsia="Times New Roman" w:hAnsi="Tahoma" w:cs="Tahoma"/>
            <w:sz w:val="20"/>
            <w:szCs w:val="20"/>
            <w:lang w:eastAsia="ar-SA" w:bidi="it-IT"/>
          </w:rPr>
          <w:t>https://www.halleyweb.com/c033042/zf/index.php/atti-amministrativi/delibere/dettaglio/atto/G1npVMkTRPT0-A</w:t>
        </w:r>
      </w:hyperlink>
      <w:r w:rsidR="00580372">
        <w:rPr>
          <w:rFonts w:ascii="Tahoma" w:eastAsia="Times New Roman" w:hAnsi="Tahoma" w:cs="Tahoma"/>
          <w:color w:val="000000"/>
          <w:sz w:val="20"/>
          <w:szCs w:val="20"/>
          <w:lang w:eastAsia="ar-SA" w:bidi="it-IT"/>
        </w:rPr>
        <w:t xml:space="preserve"> </w:t>
      </w:r>
      <w:r w:rsidR="00580372" w:rsidRPr="00580372">
        <w:rPr>
          <w:rFonts w:ascii="Tahoma" w:eastAsia="Times New Roman" w:hAnsi="Tahoma" w:cs="Tahoma"/>
          <w:color w:val="000000"/>
          <w:sz w:val="20"/>
          <w:szCs w:val="20"/>
          <w:lang w:eastAsia="ar-SA" w:bidi="it-IT"/>
        </w:rPr>
        <w:t xml:space="preserve"> e di impegnarsi, in caso di aggiudicazione, a osservare e far osservare ai propri dipendenti e collaboratori il suddetto codice, pena la risoluzione del contratto;</w:t>
      </w:r>
    </w:p>
    <w:p w14:paraId="33EE4F04" w14:textId="77777777" w:rsidR="00580372" w:rsidRPr="00580372" w:rsidRDefault="00580372" w:rsidP="00580372">
      <w:pPr>
        <w:pStyle w:val="Paragrafoelenco"/>
        <w:ind w:left="360"/>
        <w:rPr>
          <w:rFonts w:ascii="Tahoma" w:eastAsia="Times New Roman" w:hAnsi="Tahoma" w:cs="Tahoma"/>
          <w:color w:val="000000"/>
          <w:sz w:val="20"/>
          <w:szCs w:val="20"/>
          <w:lang w:eastAsia="ar-SA" w:bidi="it-IT"/>
        </w:rPr>
      </w:pPr>
    </w:p>
    <w:p w14:paraId="78B3B2B9" w14:textId="3A1FAAD4" w:rsidR="00691C19" w:rsidRPr="00580372" w:rsidRDefault="00691C19" w:rsidP="00691C19">
      <w:pPr>
        <w:pStyle w:val="Paragrafoelenco"/>
        <w:numPr>
          <w:ilvl w:val="0"/>
          <w:numId w:val="2"/>
        </w:numPr>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w:t>
      </w:r>
      <w:r w:rsidR="00622229">
        <w:rPr>
          <w:rFonts w:ascii="Tahoma" w:eastAsia="Times New Roman" w:hAnsi="Tahoma" w:cs="Tahoma"/>
          <w:color w:val="000000"/>
          <w:sz w:val="20"/>
          <w:szCs w:val="20"/>
          <w:lang w:eastAsia="ar-SA"/>
        </w:rPr>
        <w:t>______________________________</w:t>
      </w:r>
      <w:r>
        <w:rPr>
          <w:rFonts w:ascii="Tahoma" w:eastAsia="Times New Roman" w:hAnsi="Tahoma" w:cs="Tahoma"/>
          <w:color w:val="000000"/>
          <w:sz w:val="20"/>
          <w:szCs w:val="20"/>
          <w:lang w:eastAsia="ar-SA"/>
        </w:rPr>
        <w:t xml:space="preserve">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 </w:t>
      </w:r>
      <w:r>
        <w:rPr>
          <w:rFonts w:ascii="Tahoma" w:eastAsia="Times New Roman" w:hAnsi="Tahoma" w:cs="Tahoma"/>
          <w:b/>
          <w:color w:val="000000"/>
          <w:sz w:val="20"/>
          <w:szCs w:val="20"/>
          <w:lang w:eastAsia="ar-SA"/>
        </w:rPr>
        <w:t xml:space="preserve">L’iscrizione è necessaria per l’operatore che assume le attività maggiormente esposte al rischio di infiltrazione mafiosa; in alternativa, l’operatore economico concorrente </w:t>
      </w:r>
      <w:r w:rsidRPr="00580372">
        <w:rPr>
          <w:rFonts w:ascii="Tahoma" w:eastAsia="Times New Roman" w:hAnsi="Tahoma" w:cs="Tahoma"/>
          <w:b/>
          <w:color w:val="000000"/>
          <w:sz w:val="20"/>
          <w:szCs w:val="20"/>
          <w:lang w:eastAsia="ar-SA"/>
        </w:rPr>
        <w:t>dovrà dichiarare la volontà di ricorrere al subappalto ad operatore economico iscritto nella white list per quelle attività (senza necessità di dichiararne i nominativi in sede di gara);</w:t>
      </w:r>
    </w:p>
    <w:p w14:paraId="7844442B" w14:textId="1FC1CCD1" w:rsidR="00351CBD" w:rsidRPr="00580372" w:rsidRDefault="00351CBD" w:rsidP="00012FA1">
      <w:pPr>
        <w:numPr>
          <w:ilvl w:val="0"/>
          <w:numId w:val="2"/>
        </w:numPr>
        <w:suppressAutoHyphens/>
        <w:spacing w:before="120" w:after="200" w:line="240" w:lineRule="auto"/>
        <w:jc w:val="both"/>
        <w:rPr>
          <w:rFonts w:ascii="Tahoma" w:eastAsia="Times New Roman" w:hAnsi="Tahoma" w:cs="Tahoma"/>
          <w:color w:val="000000"/>
          <w:sz w:val="20"/>
          <w:szCs w:val="20"/>
        </w:rPr>
      </w:pPr>
      <w:r w:rsidRPr="00580372">
        <w:rPr>
          <w:rFonts w:ascii="Tahoma" w:hAnsi="Tahoma" w:cs="Tahoma"/>
          <w:sz w:val="20"/>
          <w:szCs w:val="20"/>
        </w:rPr>
        <w:t xml:space="preserve">di accettare le clausole </w:t>
      </w:r>
      <w:r w:rsidR="00580372" w:rsidRPr="00580372">
        <w:rPr>
          <w:rFonts w:ascii="Tahoma" w:hAnsi="Tahoma" w:cs="Tahoma"/>
          <w:sz w:val="20"/>
          <w:szCs w:val="20"/>
        </w:rPr>
        <w:t xml:space="preserve">del </w:t>
      </w:r>
      <w:r w:rsidR="00580372" w:rsidRPr="00580372">
        <w:rPr>
          <w:rFonts w:ascii="Tahoma" w:hAnsi="Tahoma" w:cs="Tahoma"/>
          <w:b/>
          <w:sz w:val="20"/>
          <w:szCs w:val="20"/>
        </w:rPr>
        <w:t>“Protocollo d'intesa per la prevenzione dei tentativi di infiltrazione della criminalità organizzata nel settore degli appalti e concessioni di lavori pubblici”</w:t>
      </w:r>
      <w:r w:rsidR="00580372" w:rsidRPr="00580372">
        <w:rPr>
          <w:rFonts w:ascii="Tahoma" w:hAnsi="Tahoma" w:cs="Tahoma"/>
          <w:sz w:val="20"/>
          <w:szCs w:val="20"/>
        </w:rPr>
        <w:t xml:space="preserve"> sottoscritto dal Comune di Sarmato e la Prefettura di Piacenza in data 24 settembre 2022, consultabile al presente collegamento: </w:t>
      </w:r>
      <w:hyperlink r:id="rId8" w:history="1">
        <w:r w:rsidR="00580372" w:rsidRPr="00580372">
          <w:rPr>
            <w:rStyle w:val="Collegamentoipertestuale"/>
            <w:rFonts w:ascii="Tahoma" w:hAnsi="Tahoma" w:cs="Tahoma"/>
            <w:sz w:val="20"/>
            <w:szCs w:val="20"/>
          </w:rPr>
          <w:t>http://www.prefettura.it/piacenza/download.php?coming=Y29udGVudXRpL0FudGltYWZpYS00NDU0Ny5odG0=&amp;f=Spages&amp;file=L0ZJTEVTL0FsbGVnYXRpUGFnLzEyMDcvU2FybWF0by5wZGY=&amp;id_sito=1207&amp;s=download.php</w:t>
        </w:r>
      </w:hyperlink>
      <w:r w:rsidR="00580372" w:rsidRPr="00580372">
        <w:rPr>
          <w:rFonts w:ascii="Tahoma" w:hAnsi="Tahoma" w:cs="Tahoma"/>
          <w:sz w:val="20"/>
          <w:szCs w:val="20"/>
        </w:rPr>
        <w:t xml:space="preserve">; </w:t>
      </w:r>
    </w:p>
    <w:p w14:paraId="47637385" w14:textId="213D25D4" w:rsidR="00ED02C1" w:rsidRPr="00A643E7" w:rsidRDefault="00012FA1" w:rsidP="00A643E7">
      <w:pPr>
        <w:numPr>
          <w:ilvl w:val="0"/>
          <w:numId w:val="2"/>
        </w:numPr>
        <w:suppressAutoHyphens/>
        <w:spacing w:before="120" w:after="200" w:line="240" w:lineRule="auto"/>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sectPr w:rsidR="00ED02C1" w:rsidRPr="00A643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5A3C02FD"/>
    <w:multiLevelType w:val="hybridMultilevel"/>
    <w:tmpl w:val="A0F8E23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34"/>
    <w:rsid w:val="00012FA1"/>
    <w:rsid w:val="00351CBD"/>
    <w:rsid w:val="003E18E6"/>
    <w:rsid w:val="00415BEC"/>
    <w:rsid w:val="00442A85"/>
    <w:rsid w:val="004C0133"/>
    <w:rsid w:val="00521734"/>
    <w:rsid w:val="00580372"/>
    <w:rsid w:val="005D0222"/>
    <w:rsid w:val="00622229"/>
    <w:rsid w:val="00691C19"/>
    <w:rsid w:val="00845585"/>
    <w:rsid w:val="0088185E"/>
    <w:rsid w:val="008C46E5"/>
    <w:rsid w:val="00935808"/>
    <w:rsid w:val="00967AB8"/>
    <w:rsid w:val="009D28CD"/>
    <w:rsid w:val="00A125B1"/>
    <w:rsid w:val="00A643E7"/>
    <w:rsid w:val="00C02581"/>
    <w:rsid w:val="00C37478"/>
    <w:rsid w:val="00CC61E4"/>
    <w:rsid w:val="00ED02C1"/>
    <w:rsid w:val="00F1043C"/>
    <w:rsid w:val="00FA2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B707"/>
  <w15:chartTrackingRefBased/>
  <w15:docId w15:val="{BEED2901-348E-41B1-B8D7-C689763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2FA1"/>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2FA1"/>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012FA1"/>
    <w:pPr>
      <w:ind w:left="720"/>
      <w:contextualSpacing/>
    </w:pPr>
  </w:style>
  <w:style w:type="character" w:styleId="Collegamentoipertestuale">
    <w:name w:val="Hyperlink"/>
    <w:basedOn w:val="Carpredefinitoparagrafo"/>
    <w:uiPriority w:val="99"/>
    <w:unhideWhenUsed/>
    <w:rsid w:val="00967AB8"/>
    <w:rPr>
      <w:color w:val="0563C1" w:themeColor="hyperlink"/>
      <w:u w:val="single"/>
    </w:rPr>
  </w:style>
  <w:style w:type="character" w:styleId="Menzionenonrisolta">
    <w:name w:val="Unresolved Mention"/>
    <w:basedOn w:val="Carpredefinitoparagrafo"/>
    <w:uiPriority w:val="99"/>
    <w:semiHidden/>
    <w:unhideWhenUsed/>
    <w:rsid w:val="00967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ettura.it/piacenza/download.php?coming=Y29udGVudXRpL0FudGltYWZpYS00NDU0Ny5odG0=&amp;f=Spages&amp;file=L0ZJTEVTL0FsbGVnYXRpUGFnLzEyMDcvU2FybWF0by5wZGY=&amp;id_sito=1207&amp;s=download.php" TargetMode="External"/><Relationship Id="rId3" Type="http://schemas.openxmlformats.org/officeDocument/2006/relationships/settings" Target="settings.xml"/><Relationship Id="rId7" Type="http://schemas.openxmlformats.org/officeDocument/2006/relationships/hyperlink" Target="https://www.halleyweb.com/c033042/zf/index.php/atti-amministrativi/delibere/dettaglio/atto/G1npVMkTRPT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3133</Words>
  <Characters>17859</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Arena, Viviana</cp:lastModifiedBy>
  <cp:revision>25</cp:revision>
  <dcterms:created xsi:type="dcterms:W3CDTF">2022-11-11T08:01:00Z</dcterms:created>
  <dcterms:modified xsi:type="dcterms:W3CDTF">2023-03-22T11:05:00Z</dcterms:modified>
</cp:coreProperties>
</file>